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D4D0" w14:textId="01A12920" w:rsidR="00B3213A" w:rsidRDefault="0083607C" w:rsidP="00A9231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7B4A">
        <w:rPr>
          <w:rFonts w:asciiTheme="minorHAnsi" w:hAnsiTheme="minorHAnsi" w:cstheme="minorHAnsi"/>
          <w:b/>
          <w:bCs/>
          <w:sz w:val="22"/>
          <w:szCs w:val="22"/>
        </w:rPr>
        <w:t>Independent SAGE</w:t>
      </w:r>
      <w:r w:rsidR="00C81878">
        <w:rPr>
          <w:rFonts w:asciiTheme="minorHAnsi" w:hAnsiTheme="minorHAnsi" w:cstheme="minorHAnsi"/>
          <w:b/>
          <w:bCs/>
          <w:sz w:val="22"/>
          <w:szCs w:val="22"/>
        </w:rPr>
        <w:t>: Call for Global Action</w:t>
      </w:r>
    </w:p>
    <w:p w14:paraId="75ED1617" w14:textId="23755DD4" w:rsidR="00A9231D" w:rsidRDefault="00A9231D" w:rsidP="00A9231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AF89F7" w14:textId="7BD92E27" w:rsidR="00152E34" w:rsidRDefault="00A9231D" w:rsidP="00A6634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Covid-19 is a global pandemic. It can only be addressed on a global level. </w:t>
      </w:r>
      <w:proofErr w:type="gramStart"/>
      <w:r>
        <w:rPr>
          <w:rFonts w:asciiTheme="minorHAnsi" w:hAnsiTheme="minorHAnsi" w:cstheme="minorHAnsi"/>
          <w:sz w:val="22"/>
          <w:szCs w:val="22"/>
        </w:rPr>
        <w:t>As long as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 populations of some countries remain unvaccinated, </w:t>
      </w:r>
      <w:r w:rsidR="007D2478" w:rsidRPr="007D2478">
        <w:rPr>
          <w:rStyle w:val="Hyperlink"/>
          <w:rFonts w:asciiTheme="minorHAnsi" w:hAnsiTheme="minorHAnsi" w:cstheme="minorHAnsi"/>
          <w:sz w:val="22"/>
          <w:szCs w:val="22"/>
        </w:rPr>
        <w:t>the virus will continue to circulate around the world</w:t>
      </w:r>
      <w:r w:rsidRPr="007D2478">
        <w:rPr>
          <w:rStyle w:val="Hyperlink"/>
          <w:rFonts w:asciiTheme="minorHAnsi" w:hAnsiTheme="minorHAnsi" w:cstheme="minorHAnsi"/>
          <w:sz w:val="22"/>
          <w:szCs w:val="22"/>
        </w:rPr>
        <w:t xml:space="preserve"> and new variants will emerge that run the risk of evading immunity acquired w</w:t>
      </w:r>
      <w:r w:rsidR="009E0CC5" w:rsidRPr="007D2478">
        <w:rPr>
          <w:rStyle w:val="Hyperlink"/>
          <w:rFonts w:asciiTheme="minorHAnsi" w:hAnsiTheme="minorHAnsi" w:cstheme="minorHAnsi"/>
          <w:sz w:val="22"/>
          <w:szCs w:val="22"/>
        </w:rPr>
        <w:t>he</w:t>
      </w:r>
      <w:r w:rsidRPr="007D2478">
        <w:rPr>
          <w:rStyle w:val="Hyperlink"/>
          <w:rFonts w:asciiTheme="minorHAnsi" w:hAnsiTheme="minorHAnsi" w:cstheme="minorHAnsi"/>
          <w:sz w:val="22"/>
          <w:szCs w:val="22"/>
        </w:rPr>
        <w:t>ther through inoculation or previous infections.</w:t>
      </w:r>
      <w:r w:rsidR="005C3659">
        <w:rPr>
          <w:rFonts w:asciiTheme="minorHAnsi" w:hAnsiTheme="minorHAnsi" w:cstheme="minorHAnsi"/>
          <w:sz w:val="22"/>
          <w:szCs w:val="22"/>
        </w:rPr>
        <w:t xml:space="preserve"> </w:t>
      </w:r>
      <w:r w:rsidR="00D83FA8">
        <w:rPr>
          <w:rFonts w:asciiTheme="minorHAnsi" w:hAnsiTheme="minorHAnsi" w:cstheme="minorHAnsi"/>
          <w:sz w:val="22"/>
          <w:szCs w:val="22"/>
        </w:rPr>
        <w:t xml:space="preserve">Omicron is one such example. </w:t>
      </w:r>
      <w:r w:rsidR="00C81878">
        <w:rPr>
          <w:rFonts w:asciiTheme="minorHAnsi" w:hAnsiTheme="minorHAnsi" w:cstheme="minorHAnsi"/>
          <w:sz w:val="22"/>
          <w:szCs w:val="22"/>
        </w:rPr>
        <w:t>While we welcome the</w:t>
      </w:r>
      <w:r w:rsidR="00304CCC">
        <w:rPr>
          <w:rFonts w:asciiTheme="minorHAnsi" w:hAnsiTheme="minorHAnsi" w:cstheme="minorHAnsi"/>
          <w:sz w:val="22"/>
          <w:szCs w:val="22"/>
        </w:rPr>
        <w:t xml:space="preserve"> recent</w:t>
      </w:r>
      <w:r w:rsidR="00C81878">
        <w:rPr>
          <w:rFonts w:asciiTheme="minorHAnsi" w:hAnsiTheme="minorHAnsi" w:cstheme="minorHAnsi"/>
          <w:sz w:val="22"/>
          <w:szCs w:val="22"/>
        </w:rPr>
        <w:t xml:space="preserve"> </w:t>
      </w:r>
      <w:r w:rsidR="00D83FA8">
        <w:rPr>
          <w:rFonts w:asciiTheme="minorHAnsi" w:hAnsiTheme="minorHAnsi" w:cstheme="minorHAnsi"/>
          <w:sz w:val="22"/>
          <w:szCs w:val="22"/>
        </w:rPr>
        <w:t xml:space="preserve">UK Government </w:t>
      </w:r>
      <w:hyperlink r:id="rId7" w:history="1">
        <w:r w:rsidR="00C81878" w:rsidRPr="00C81878">
          <w:rPr>
            <w:rStyle w:val="Hyperlink"/>
            <w:rFonts w:asciiTheme="minorHAnsi" w:hAnsiTheme="minorHAnsi" w:cstheme="minorHAnsi"/>
            <w:sz w:val="22"/>
            <w:szCs w:val="22"/>
          </w:rPr>
          <w:t>pledge of $750m t</w:t>
        </w:r>
        <w:r w:rsidR="00C81878" w:rsidRPr="00C81878">
          <w:rPr>
            <w:rStyle w:val="Hyperlink"/>
            <w:rFonts w:asciiTheme="minorHAnsi" w:hAnsiTheme="minorHAnsi" w:cstheme="minorHAnsi"/>
            <w:sz w:val="22"/>
            <w:szCs w:val="22"/>
          </w:rPr>
          <w:t>o</w:t>
        </w:r>
        <w:r w:rsidR="00C81878" w:rsidRPr="00C81878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the </w:t>
        </w:r>
        <w:proofErr w:type="spellStart"/>
        <w:r w:rsidR="00C81878" w:rsidRPr="00C81878">
          <w:rPr>
            <w:rStyle w:val="Hyperlink"/>
            <w:rFonts w:asciiTheme="minorHAnsi" w:hAnsiTheme="minorHAnsi" w:cstheme="minorHAnsi"/>
            <w:sz w:val="22"/>
            <w:szCs w:val="22"/>
          </w:rPr>
          <w:t>Covax</w:t>
        </w:r>
        <w:proofErr w:type="spellEnd"/>
        <w:r w:rsidR="00C81878" w:rsidRPr="00C81878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programme</w:t>
        </w:r>
      </w:hyperlink>
      <w:r w:rsidR="00C81878">
        <w:rPr>
          <w:rFonts w:asciiTheme="minorHAnsi" w:hAnsiTheme="minorHAnsi" w:cstheme="minorHAnsi"/>
          <w:sz w:val="22"/>
          <w:szCs w:val="22"/>
        </w:rPr>
        <w:t xml:space="preserve">, there is much more that can and should be done. </w:t>
      </w:r>
      <w:r w:rsidR="00D83F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0E2C54" w14:textId="77777777" w:rsidR="00152E34" w:rsidRDefault="00152E34" w:rsidP="00152E34">
      <w:pPr>
        <w:rPr>
          <w:rFonts w:asciiTheme="minorHAnsi" w:hAnsiTheme="minorHAnsi" w:cstheme="minorHAnsi"/>
          <w:sz w:val="22"/>
          <w:szCs w:val="22"/>
        </w:rPr>
      </w:pPr>
    </w:p>
    <w:p w14:paraId="47282BF5" w14:textId="794CA2CB" w:rsidR="00152E34" w:rsidRPr="00152E34" w:rsidRDefault="00152E34" w:rsidP="00152E34">
      <w:pPr>
        <w:rPr>
          <w:rFonts w:asciiTheme="minorHAnsi" w:hAnsiTheme="minorHAnsi" w:cstheme="minorHAnsi"/>
          <w:sz w:val="22"/>
          <w:szCs w:val="22"/>
        </w:rPr>
      </w:pPr>
      <w:r w:rsidRPr="00152E34">
        <w:rPr>
          <w:rFonts w:asciiTheme="minorHAnsi" w:hAnsiTheme="minorHAnsi" w:cstheme="minorHAnsi"/>
          <w:sz w:val="22"/>
          <w:szCs w:val="22"/>
        </w:rPr>
        <w:t>We call for the following as a matter of urgency:</w:t>
      </w:r>
    </w:p>
    <w:p w14:paraId="6B2B213B" w14:textId="77777777" w:rsidR="00152E34" w:rsidRPr="00152E34" w:rsidRDefault="00152E34" w:rsidP="00152E34">
      <w:pPr>
        <w:rPr>
          <w:rFonts w:asciiTheme="minorHAnsi" w:hAnsiTheme="minorHAnsi" w:cstheme="minorHAnsi"/>
          <w:sz w:val="22"/>
          <w:szCs w:val="22"/>
        </w:rPr>
      </w:pPr>
    </w:p>
    <w:p w14:paraId="70A6BC5B" w14:textId="77777777" w:rsidR="00152E34" w:rsidRPr="00152E34" w:rsidRDefault="00152E34" w:rsidP="00152E3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52E34">
        <w:rPr>
          <w:rFonts w:asciiTheme="minorHAnsi" w:hAnsiTheme="minorHAnsi" w:cstheme="minorHAnsi"/>
          <w:sz w:val="22"/>
          <w:szCs w:val="22"/>
        </w:rPr>
        <w:t xml:space="preserve">That the UK drops its opposition to vaccine patent waivers </w:t>
      </w:r>
    </w:p>
    <w:p w14:paraId="4794ECDD" w14:textId="76033CFF" w:rsidR="00152E34" w:rsidRPr="00152E34" w:rsidRDefault="00152E34" w:rsidP="00152E3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52E34">
        <w:rPr>
          <w:rFonts w:asciiTheme="minorHAnsi" w:hAnsiTheme="minorHAnsi" w:cstheme="minorHAnsi"/>
          <w:sz w:val="22"/>
          <w:szCs w:val="22"/>
        </w:rPr>
        <w:t xml:space="preserve">That the UK provides technology and expertise transfer </w:t>
      </w:r>
      <w:r>
        <w:rPr>
          <w:rFonts w:asciiTheme="minorHAnsi" w:hAnsiTheme="minorHAnsi" w:cstheme="minorHAnsi"/>
          <w:sz w:val="22"/>
          <w:szCs w:val="22"/>
        </w:rPr>
        <w:t>to support and establish</w:t>
      </w:r>
      <w:r w:rsidRPr="00152E34">
        <w:rPr>
          <w:rFonts w:asciiTheme="minorHAnsi" w:hAnsiTheme="minorHAnsi" w:cstheme="minorHAnsi"/>
          <w:sz w:val="22"/>
          <w:szCs w:val="22"/>
        </w:rPr>
        <w:t xml:space="preserve"> manufacturing hubs for Covid vaccines in all regions of the world as soon as possible</w:t>
      </w:r>
    </w:p>
    <w:p w14:paraId="657C910B" w14:textId="546A6359" w:rsidR="00152E34" w:rsidRDefault="00152E34" w:rsidP="00152E3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52E34">
        <w:rPr>
          <w:rFonts w:asciiTheme="minorHAnsi" w:hAnsiTheme="minorHAnsi" w:cstheme="minorHAnsi"/>
          <w:sz w:val="22"/>
          <w:szCs w:val="22"/>
        </w:rPr>
        <w:t>That, in the short term, as local manufacturing ramps up, the UK meets its pledges to donate vaccines to COVAX</w:t>
      </w:r>
      <w:r w:rsidR="00571EEC">
        <w:rPr>
          <w:rFonts w:asciiTheme="minorHAnsi" w:hAnsiTheme="minorHAnsi" w:cstheme="minorHAnsi"/>
          <w:sz w:val="22"/>
          <w:szCs w:val="22"/>
        </w:rPr>
        <w:t xml:space="preserve"> as well as funds</w:t>
      </w:r>
      <w:r w:rsidRPr="00152E34">
        <w:rPr>
          <w:rFonts w:asciiTheme="minorHAnsi" w:hAnsiTheme="minorHAnsi" w:cstheme="minorHAnsi"/>
          <w:sz w:val="22"/>
          <w:szCs w:val="22"/>
        </w:rPr>
        <w:t xml:space="preserve"> (the global vaccination scheme) </w:t>
      </w:r>
    </w:p>
    <w:p w14:paraId="374FB33A" w14:textId="72E187D2" w:rsidR="00152E34" w:rsidRPr="00152E34" w:rsidRDefault="00152E34" w:rsidP="00152E3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152E34">
        <w:rPr>
          <w:rFonts w:asciiTheme="minorHAnsi" w:hAnsiTheme="minorHAnsi" w:cstheme="minorHAnsi"/>
          <w:sz w:val="22"/>
          <w:szCs w:val="22"/>
        </w:rPr>
        <w:t>hat the vaccines provided are suitable for use in their intended destinations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BB34EE">
        <w:rPr>
          <w:rFonts w:asciiTheme="minorHAnsi" w:hAnsiTheme="minorHAnsi" w:cstheme="minorHAnsi"/>
          <w:sz w:val="22"/>
          <w:szCs w:val="22"/>
        </w:rPr>
        <w:t xml:space="preserve">timely </w:t>
      </w:r>
      <w:r w:rsidR="00304CCC">
        <w:rPr>
          <w:rFonts w:asciiTheme="minorHAnsi" w:hAnsiTheme="minorHAnsi" w:cstheme="minorHAnsi"/>
          <w:sz w:val="22"/>
          <w:szCs w:val="22"/>
        </w:rPr>
        <w:t xml:space="preserve">and pre-planned </w:t>
      </w:r>
      <w:r w:rsidR="00BB34EE">
        <w:rPr>
          <w:rFonts w:asciiTheme="minorHAnsi" w:hAnsiTheme="minorHAnsi" w:cstheme="minorHAnsi"/>
          <w:sz w:val="22"/>
          <w:szCs w:val="22"/>
        </w:rPr>
        <w:t xml:space="preserve">deliveries to ensure </w:t>
      </w:r>
      <w:r>
        <w:rPr>
          <w:rFonts w:asciiTheme="minorHAnsi" w:hAnsiTheme="minorHAnsi" w:cstheme="minorHAnsi"/>
          <w:sz w:val="22"/>
          <w:szCs w:val="22"/>
        </w:rPr>
        <w:t xml:space="preserve">sufficiently long shelf life </w:t>
      </w:r>
      <w:r w:rsidR="00BB34EE">
        <w:rPr>
          <w:rFonts w:asciiTheme="minorHAnsi" w:hAnsiTheme="minorHAnsi" w:cstheme="minorHAnsi"/>
          <w:sz w:val="22"/>
          <w:szCs w:val="22"/>
        </w:rPr>
        <w:t xml:space="preserve">given </w:t>
      </w:r>
      <w:r>
        <w:rPr>
          <w:rFonts w:asciiTheme="minorHAnsi" w:hAnsiTheme="minorHAnsi" w:cstheme="minorHAnsi"/>
          <w:sz w:val="22"/>
          <w:szCs w:val="22"/>
        </w:rPr>
        <w:t>storage requirements)</w:t>
      </w:r>
      <w:r w:rsidRPr="00152E34">
        <w:rPr>
          <w:rFonts w:asciiTheme="minorHAnsi" w:hAnsiTheme="minorHAnsi" w:cstheme="minorHAnsi"/>
          <w:sz w:val="22"/>
          <w:szCs w:val="22"/>
        </w:rPr>
        <w:t>.</w:t>
      </w:r>
    </w:p>
    <w:p w14:paraId="28D5C8AF" w14:textId="2C80B45F" w:rsidR="00A9231D" w:rsidRDefault="00A9231D" w:rsidP="00A9231D">
      <w:pPr>
        <w:rPr>
          <w:rFonts w:asciiTheme="minorHAnsi" w:hAnsiTheme="minorHAnsi" w:cstheme="minorHAnsi"/>
          <w:sz w:val="22"/>
          <w:szCs w:val="22"/>
        </w:rPr>
      </w:pPr>
    </w:p>
    <w:p w14:paraId="60946F56" w14:textId="55CC7797" w:rsidR="00A9231D" w:rsidRDefault="00D83FA8" w:rsidP="00A923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A9231D">
        <w:rPr>
          <w:rFonts w:asciiTheme="minorHAnsi" w:hAnsiTheme="minorHAnsi" w:cstheme="minorHAnsi"/>
          <w:sz w:val="22"/>
          <w:szCs w:val="22"/>
        </w:rPr>
        <w:t>distribution of vaccine</w:t>
      </w:r>
      <w:r>
        <w:rPr>
          <w:rFonts w:asciiTheme="minorHAnsi" w:hAnsiTheme="minorHAnsi" w:cstheme="minorHAnsi"/>
          <w:sz w:val="22"/>
          <w:szCs w:val="22"/>
        </w:rPr>
        <w:t xml:space="preserve"> across the world </w:t>
      </w:r>
      <w:r w:rsidR="00A9231D">
        <w:rPr>
          <w:rFonts w:asciiTheme="minorHAnsi" w:hAnsiTheme="minorHAnsi" w:cstheme="minorHAnsi"/>
          <w:sz w:val="22"/>
          <w:szCs w:val="22"/>
        </w:rPr>
        <w:t xml:space="preserve">s is marked by extreme inequality. </w:t>
      </w:r>
      <w:hyperlink r:id="rId8" w:history="1">
        <w:r w:rsidR="00A9231D" w:rsidRPr="002B55FA">
          <w:rPr>
            <w:rStyle w:val="Hyperlink"/>
            <w:rFonts w:asciiTheme="minorHAnsi" w:hAnsiTheme="minorHAnsi" w:cstheme="minorHAnsi"/>
            <w:sz w:val="22"/>
            <w:szCs w:val="22"/>
          </w:rPr>
          <w:t>Low income countries</w:t>
        </w:r>
        <w:r w:rsidR="007579D2" w:rsidRPr="002B55FA">
          <w:rPr>
            <w:rStyle w:val="Hyperlink"/>
            <w:rFonts w:asciiTheme="minorHAnsi" w:hAnsiTheme="minorHAnsi" w:cstheme="minorHAnsi"/>
            <w:sz w:val="22"/>
            <w:szCs w:val="22"/>
            <w:vertAlign w:val="superscript"/>
          </w:rPr>
          <w:footnoteReference w:id="1"/>
        </w:r>
        <w:r w:rsidR="007579D2" w:rsidRPr="002B55FA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have received </w:t>
        </w:r>
        <w:r w:rsidR="002B55FA" w:rsidRPr="002B55FA">
          <w:rPr>
            <w:rStyle w:val="Hyperlink"/>
            <w:rFonts w:asciiTheme="minorHAnsi" w:hAnsiTheme="minorHAnsi" w:cstheme="minorHAnsi"/>
            <w:sz w:val="22"/>
            <w:szCs w:val="22"/>
          </w:rPr>
          <w:t>0.6</w:t>
        </w:r>
        <w:r w:rsidR="007579D2" w:rsidRPr="002B55FA">
          <w:rPr>
            <w:rStyle w:val="Hyperlink"/>
            <w:rFonts w:asciiTheme="minorHAnsi" w:hAnsiTheme="minorHAnsi" w:cstheme="minorHAnsi"/>
            <w:sz w:val="22"/>
            <w:szCs w:val="22"/>
          </w:rPr>
          <w:t>% of the doses administered globally</w:t>
        </w:r>
        <w:r w:rsidRPr="002B55FA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T</w:t>
      </w:r>
      <w:r w:rsidR="007579D2">
        <w:rPr>
          <w:rFonts w:asciiTheme="minorHAnsi" w:hAnsiTheme="minorHAnsi" w:cstheme="minorHAnsi"/>
          <w:sz w:val="22"/>
          <w:szCs w:val="22"/>
        </w:rPr>
        <w:t xml:space="preserve">o date, </w:t>
      </w:r>
      <w:r w:rsidR="003A5CF7">
        <w:rPr>
          <w:rFonts w:asciiTheme="minorHAnsi" w:hAnsiTheme="minorHAnsi" w:cstheme="minorHAnsi"/>
          <w:sz w:val="22"/>
          <w:szCs w:val="22"/>
        </w:rPr>
        <w:t xml:space="preserve">fewer </w:t>
      </w:r>
      <w:r w:rsidR="007579D2">
        <w:rPr>
          <w:rFonts w:asciiTheme="minorHAnsi" w:hAnsiTheme="minorHAnsi" w:cstheme="minorHAnsi"/>
          <w:sz w:val="22"/>
          <w:szCs w:val="22"/>
        </w:rPr>
        <w:t xml:space="preserve">than </w:t>
      </w:r>
      <w:hyperlink r:id="rId9" w:history="1">
        <w:r w:rsidR="007579D2" w:rsidRPr="003A5CF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4% </w:t>
        </w:r>
        <w:r w:rsidR="003A5CF7" w:rsidRPr="003A5CF7">
          <w:rPr>
            <w:rStyle w:val="Hyperlink"/>
            <w:rFonts w:asciiTheme="minorHAnsi" w:hAnsiTheme="minorHAnsi" w:cstheme="minorHAnsi"/>
            <w:sz w:val="22"/>
            <w:szCs w:val="22"/>
          </w:rPr>
          <w:t>and 33%</w:t>
        </w:r>
      </w:hyperlink>
      <w:r w:rsidR="003A5CF7">
        <w:rPr>
          <w:rFonts w:asciiTheme="minorHAnsi" w:hAnsiTheme="minorHAnsi" w:cstheme="minorHAnsi"/>
          <w:sz w:val="22"/>
          <w:szCs w:val="22"/>
        </w:rPr>
        <w:t xml:space="preserve"> </w:t>
      </w:r>
      <w:r w:rsidR="007579D2">
        <w:rPr>
          <w:rFonts w:asciiTheme="minorHAnsi" w:hAnsiTheme="minorHAnsi" w:cstheme="minorHAnsi"/>
          <w:sz w:val="22"/>
          <w:szCs w:val="22"/>
        </w:rPr>
        <w:t xml:space="preserve">of </w:t>
      </w:r>
      <w:r w:rsidR="003A5CF7">
        <w:rPr>
          <w:rFonts w:asciiTheme="minorHAnsi" w:hAnsiTheme="minorHAnsi" w:cstheme="minorHAnsi"/>
          <w:sz w:val="22"/>
          <w:szCs w:val="22"/>
        </w:rPr>
        <w:t>people</w:t>
      </w:r>
      <w:r w:rsidR="007579D2">
        <w:rPr>
          <w:rFonts w:asciiTheme="minorHAnsi" w:hAnsiTheme="minorHAnsi" w:cstheme="minorHAnsi"/>
          <w:sz w:val="22"/>
          <w:szCs w:val="22"/>
        </w:rPr>
        <w:t xml:space="preserve"> </w:t>
      </w:r>
      <w:r w:rsidR="003A5CF7">
        <w:rPr>
          <w:rFonts w:asciiTheme="minorHAnsi" w:hAnsiTheme="minorHAnsi" w:cstheme="minorHAnsi"/>
          <w:sz w:val="22"/>
          <w:szCs w:val="22"/>
        </w:rPr>
        <w:t xml:space="preserve">in low and lower middle income countries are fully vaccinated compared to </w:t>
      </w:r>
      <w:hyperlink r:id="rId10" w:history="1">
        <w:r w:rsidR="003A5CF7" w:rsidRPr="003A5CF7">
          <w:rPr>
            <w:rStyle w:val="Hyperlink"/>
            <w:rFonts w:asciiTheme="minorHAnsi" w:hAnsiTheme="minorHAnsi" w:cstheme="minorHAnsi"/>
            <w:sz w:val="22"/>
            <w:szCs w:val="22"/>
          </w:rPr>
          <w:t>71% and 69%</w:t>
        </w:r>
      </w:hyperlink>
      <w:r w:rsidR="003A5CF7">
        <w:rPr>
          <w:rFonts w:asciiTheme="minorHAnsi" w:hAnsiTheme="minorHAnsi" w:cstheme="minorHAnsi"/>
          <w:sz w:val="22"/>
          <w:szCs w:val="22"/>
        </w:rPr>
        <w:t xml:space="preserve"> of upper middle and high income countries respectively. </w:t>
      </w:r>
      <w:r w:rsidR="007579D2" w:rsidRPr="00304CC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04CCC" w:rsidRPr="00304CCC">
        <w:rPr>
          <w:rFonts w:asciiTheme="minorHAnsi" w:hAnsiTheme="minorHAnsi" w:cstheme="minorHAnsi"/>
          <w:sz w:val="22"/>
          <w:szCs w:val="22"/>
        </w:rPr>
        <w:t>Most</w:t>
      </w:r>
      <w:r w:rsidR="00304CCC">
        <w:t xml:space="preserve"> </w:t>
      </w:r>
      <w:r w:rsidR="003A5CF7">
        <w:rPr>
          <w:rFonts w:asciiTheme="minorHAnsi" w:hAnsiTheme="minorHAnsi" w:cstheme="minorHAnsi"/>
          <w:sz w:val="22"/>
          <w:szCs w:val="22"/>
        </w:rPr>
        <w:t xml:space="preserve"> high</w:t>
      </w:r>
      <w:proofErr w:type="gramEnd"/>
      <w:r w:rsidR="003A5CF7">
        <w:rPr>
          <w:rFonts w:asciiTheme="minorHAnsi" w:hAnsiTheme="minorHAnsi" w:cstheme="minorHAnsi"/>
          <w:sz w:val="22"/>
          <w:szCs w:val="22"/>
        </w:rPr>
        <w:t xml:space="preserve"> income countries have a higher percentage of their population </w:t>
      </w:r>
      <w:r w:rsidR="00831054">
        <w:rPr>
          <w:rFonts w:asciiTheme="minorHAnsi" w:hAnsiTheme="minorHAnsi" w:cstheme="minorHAnsi"/>
          <w:sz w:val="22"/>
          <w:szCs w:val="22"/>
        </w:rPr>
        <w:t xml:space="preserve">vaccinated </w:t>
      </w:r>
      <w:r w:rsidR="003A5CF7">
        <w:rPr>
          <w:rFonts w:asciiTheme="minorHAnsi" w:hAnsiTheme="minorHAnsi" w:cstheme="minorHAnsi"/>
          <w:sz w:val="22"/>
          <w:szCs w:val="22"/>
        </w:rPr>
        <w:t>with a third dose than African countries have with a first dose.</w:t>
      </w:r>
    </w:p>
    <w:p w14:paraId="7B291356" w14:textId="4B500BF4" w:rsidR="00EC05CA" w:rsidRDefault="00EC05CA" w:rsidP="00A9231D">
      <w:pPr>
        <w:rPr>
          <w:rFonts w:asciiTheme="minorHAnsi" w:hAnsiTheme="minorHAnsi" w:cstheme="minorHAnsi"/>
          <w:sz w:val="22"/>
          <w:szCs w:val="22"/>
        </w:rPr>
      </w:pPr>
    </w:p>
    <w:p w14:paraId="58E773D2" w14:textId="3F35821D" w:rsidR="00EC05CA" w:rsidRDefault="00EC05CA" w:rsidP="00A923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are two reasons for this inequality. First, </w:t>
      </w:r>
      <w:r w:rsidR="00E6319F">
        <w:rPr>
          <w:rFonts w:asciiTheme="minorHAnsi" w:hAnsiTheme="minorHAnsi" w:cstheme="minorHAnsi"/>
          <w:sz w:val="22"/>
          <w:szCs w:val="22"/>
        </w:rPr>
        <w:t>high-income countries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C3659" w:rsidRPr="00F31AC0">
        <w:rPr>
          <w:rStyle w:val="Hyperlink"/>
          <w:rFonts w:asciiTheme="minorHAnsi" w:hAnsiTheme="minorHAnsi" w:cstheme="minorHAnsi"/>
          <w:sz w:val="22"/>
          <w:szCs w:val="22"/>
        </w:rPr>
        <w:t>reneged on</w:t>
      </w:r>
      <w:r w:rsidRPr="00F31AC0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="00E6319F" w:rsidRPr="00F31AC0">
        <w:rPr>
          <w:rStyle w:val="Hyperlink"/>
          <w:rFonts w:asciiTheme="minorHAnsi" w:hAnsiTheme="minorHAnsi" w:cstheme="minorHAnsi"/>
          <w:sz w:val="22"/>
          <w:szCs w:val="22"/>
        </w:rPr>
        <w:t>their</w:t>
      </w:r>
      <w:r w:rsidRPr="00F31AC0">
        <w:rPr>
          <w:rStyle w:val="Hyperlink"/>
          <w:rFonts w:asciiTheme="minorHAnsi" w:hAnsiTheme="minorHAnsi" w:cstheme="minorHAnsi"/>
          <w:sz w:val="22"/>
          <w:szCs w:val="22"/>
        </w:rPr>
        <w:t xml:space="preserve"> pledges to donate vaccines to the poorer countries</w:t>
      </w:r>
      <w:r>
        <w:rPr>
          <w:rFonts w:asciiTheme="minorHAnsi" w:hAnsiTheme="minorHAnsi" w:cstheme="minorHAnsi"/>
          <w:sz w:val="22"/>
          <w:szCs w:val="22"/>
        </w:rPr>
        <w:t xml:space="preserve">. These pledges were insufficient in the first place. The World Health Organisation estimated that, in order to meet its target of doubly vaccinating </w:t>
      </w:r>
      <w:r w:rsidR="00F70326">
        <w:rPr>
          <w:rFonts w:asciiTheme="minorHAnsi" w:hAnsiTheme="minorHAnsi" w:cstheme="minorHAnsi"/>
          <w:sz w:val="22"/>
          <w:szCs w:val="22"/>
        </w:rPr>
        <w:t>70% of the world’s population by June 2022</w:t>
      </w:r>
      <w:r w:rsidR="00EA75B7">
        <w:rPr>
          <w:rFonts w:asciiTheme="minorHAnsi" w:hAnsiTheme="minorHAnsi" w:cstheme="minorHAnsi"/>
          <w:sz w:val="22"/>
          <w:szCs w:val="22"/>
        </w:rPr>
        <w:t xml:space="preserve"> it would need 11 billion doses to be donated</w:t>
      </w:r>
      <w:r w:rsidR="00F70326">
        <w:rPr>
          <w:rFonts w:asciiTheme="minorHAnsi" w:hAnsiTheme="minorHAnsi" w:cstheme="minorHAnsi"/>
          <w:sz w:val="22"/>
          <w:szCs w:val="22"/>
        </w:rPr>
        <w:t xml:space="preserve">. The leading economies pledged only 2 billion doses and, so far, only about one in five of the doses that were promised </w:t>
      </w:r>
      <w:proofErr w:type="gramStart"/>
      <w:r w:rsidR="00F70326">
        <w:rPr>
          <w:rFonts w:asciiTheme="minorHAnsi" w:hAnsiTheme="minorHAnsi" w:cstheme="minorHAnsi"/>
          <w:sz w:val="22"/>
          <w:szCs w:val="22"/>
        </w:rPr>
        <w:t>have</w:t>
      </w:r>
      <w:proofErr w:type="gramEnd"/>
      <w:r w:rsidR="00F70326">
        <w:rPr>
          <w:rFonts w:asciiTheme="minorHAnsi" w:hAnsiTheme="minorHAnsi" w:cstheme="minorHAnsi"/>
          <w:sz w:val="22"/>
          <w:szCs w:val="22"/>
        </w:rPr>
        <w:t xml:space="preserve"> been delivered. </w:t>
      </w:r>
      <w:r w:rsidR="00F70326" w:rsidRPr="00250CC5">
        <w:rPr>
          <w:rStyle w:val="Hyperlink"/>
          <w:rFonts w:asciiTheme="minorHAnsi" w:hAnsiTheme="minorHAnsi" w:cstheme="minorHAnsi"/>
          <w:sz w:val="22"/>
          <w:szCs w:val="22"/>
        </w:rPr>
        <w:t>Even against this abysmal background</w:t>
      </w:r>
      <w:r w:rsidR="003A3B66" w:rsidRPr="00250CC5">
        <w:rPr>
          <w:rStyle w:val="Hyperlink"/>
          <w:rFonts w:asciiTheme="minorHAnsi" w:hAnsiTheme="minorHAnsi" w:cstheme="minorHAnsi"/>
          <w:sz w:val="22"/>
          <w:szCs w:val="22"/>
        </w:rPr>
        <w:t>, t</w:t>
      </w:r>
      <w:r w:rsidR="00F70326" w:rsidRPr="00250CC5">
        <w:rPr>
          <w:rStyle w:val="Hyperlink"/>
          <w:rFonts w:asciiTheme="minorHAnsi" w:hAnsiTheme="minorHAnsi" w:cstheme="minorHAnsi"/>
          <w:sz w:val="22"/>
          <w:szCs w:val="22"/>
        </w:rPr>
        <w:t>he UK comes out particularly badly</w:t>
      </w:r>
      <w:r w:rsidR="00F70326">
        <w:rPr>
          <w:rFonts w:asciiTheme="minorHAnsi" w:hAnsiTheme="minorHAnsi" w:cstheme="minorHAnsi"/>
          <w:sz w:val="22"/>
          <w:szCs w:val="22"/>
        </w:rPr>
        <w:t xml:space="preserve">. </w:t>
      </w:r>
      <w:r w:rsidR="003A3B66">
        <w:rPr>
          <w:rFonts w:asciiTheme="minorHAnsi" w:hAnsiTheme="minorHAnsi" w:cstheme="minorHAnsi"/>
          <w:sz w:val="22"/>
          <w:szCs w:val="22"/>
        </w:rPr>
        <w:t xml:space="preserve">For every dose </w:t>
      </w:r>
      <w:r w:rsidR="00EA75B7">
        <w:rPr>
          <w:rFonts w:asciiTheme="minorHAnsi" w:hAnsiTheme="minorHAnsi" w:cstheme="minorHAnsi"/>
          <w:sz w:val="22"/>
          <w:szCs w:val="22"/>
        </w:rPr>
        <w:t xml:space="preserve">that </w:t>
      </w:r>
      <w:r w:rsidR="003A3B66">
        <w:rPr>
          <w:rFonts w:asciiTheme="minorHAnsi" w:hAnsiTheme="minorHAnsi" w:cstheme="minorHAnsi"/>
          <w:sz w:val="22"/>
          <w:szCs w:val="22"/>
        </w:rPr>
        <w:t>we have administered domestically, we have donated 0.22 doses, as against a US figure of 0.41 and a European average of 0.45 doses.</w:t>
      </w:r>
    </w:p>
    <w:p w14:paraId="1B27EB14" w14:textId="65721975" w:rsidR="003A3B66" w:rsidRDefault="003A3B66" w:rsidP="00A9231D">
      <w:pPr>
        <w:rPr>
          <w:rFonts w:asciiTheme="minorHAnsi" w:hAnsiTheme="minorHAnsi" w:cstheme="minorHAnsi"/>
          <w:sz w:val="22"/>
          <w:szCs w:val="22"/>
        </w:rPr>
      </w:pPr>
    </w:p>
    <w:p w14:paraId="65478A5F" w14:textId="46590D95" w:rsidR="003A3B66" w:rsidRDefault="003A3B66" w:rsidP="00A923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But to focus on the quantity of vaccines </w:t>
      </w:r>
      <w:r w:rsidR="00C97FBA">
        <w:rPr>
          <w:rFonts w:asciiTheme="minorHAnsi" w:hAnsiTheme="minorHAnsi" w:cstheme="minorHAnsi"/>
          <w:sz w:val="22"/>
          <w:szCs w:val="22"/>
        </w:rPr>
        <w:t xml:space="preserve">donated </w:t>
      </w:r>
      <w:r>
        <w:rPr>
          <w:rFonts w:asciiTheme="minorHAnsi" w:hAnsiTheme="minorHAnsi" w:cstheme="minorHAnsi"/>
          <w:sz w:val="22"/>
          <w:szCs w:val="22"/>
        </w:rPr>
        <w:t>only tells half the story</w:t>
      </w:r>
      <w:r w:rsidR="00C97FBA">
        <w:rPr>
          <w:rFonts w:asciiTheme="minorHAnsi" w:hAnsiTheme="minorHAnsi" w:cstheme="minorHAnsi"/>
          <w:sz w:val="22"/>
          <w:szCs w:val="22"/>
        </w:rPr>
        <w:t xml:space="preserve"> – quality of donation matters too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5C25B5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joint statement by the WHO</w:t>
      </w:r>
      <w:r w:rsidR="005C25B5">
        <w:rPr>
          <w:rFonts w:asciiTheme="minorHAnsi" w:hAnsiTheme="minorHAnsi" w:cstheme="minorHAnsi"/>
          <w:sz w:val="22"/>
          <w:szCs w:val="22"/>
        </w:rPr>
        <w:t>, the African Centres for Disease Control and Pr</w:t>
      </w:r>
      <w:r w:rsidR="00230B37">
        <w:rPr>
          <w:rFonts w:asciiTheme="minorHAnsi" w:hAnsiTheme="minorHAnsi" w:cstheme="minorHAnsi"/>
          <w:sz w:val="22"/>
          <w:szCs w:val="22"/>
        </w:rPr>
        <w:t>e</w:t>
      </w:r>
      <w:r w:rsidR="005C25B5">
        <w:rPr>
          <w:rFonts w:asciiTheme="minorHAnsi" w:hAnsiTheme="minorHAnsi" w:cstheme="minorHAnsi"/>
          <w:sz w:val="22"/>
          <w:szCs w:val="22"/>
        </w:rPr>
        <w:t xml:space="preserve">vention, and </w:t>
      </w:r>
      <w:proofErr w:type="gramStart"/>
      <w:r w:rsidR="005C25B5">
        <w:rPr>
          <w:rFonts w:asciiTheme="minorHAnsi" w:hAnsiTheme="minorHAnsi" w:cstheme="minorHAnsi"/>
          <w:sz w:val="22"/>
          <w:szCs w:val="22"/>
        </w:rPr>
        <w:t>a number of</w:t>
      </w:r>
      <w:proofErr w:type="gramEnd"/>
      <w:r w:rsidR="005C25B5">
        <w:rPr>
          <w:rFonts w:asciiTheme="minorHAnsi" w:hAnsiTheme="minorHAnsi" w:cstheme="minorHAnsi"/>
          <w:sz w:val="22"/>
          <w:szCs w:val="22"/>
        </w:rPr>
        <w:t xml:space="preserve"> other organisations </w:t>
      </w:r>
      <w:r w:rsidR="00230B37">
        <w:rPr>
          <w:rFonts w:asciiTheme="minorHAnsi" w:hAnsiTheme="minorHAnsi" w:cstheme="minorHAnsi"/>
          <w:sz w:val="22"/>
          <w:szCs w:val="22"/>
        </w:rPr>
        <w:t xml:space="preserve">noted </w:t>
      </w:r>
      <w:r w:rsidR="005C25B5">
        <w:rPr>
          <w:rFonts w:asciiTheme="minorHAnsi" w:hAnsiTheme="minorHAnsi" w:cstheme="minorHAnsi"/>
          <w:sz w:val="22"/>
          <w:szCs w:val="22"/>
        </w:rPr>
        <w:t>that “</w:t>
      </w:r>
      <w:r w:rsidR="00230B37" w:rsidRPr="00F31AC0">
        <w:rPr>
          <w:rStyle w:val="Hyperlink"/>
          <w:rFonts w:asciiTheme="minorHAnsi" w:hAnsiTheme="minorHAnsi" w:cstheme="minorHAnsi"/>
          <w:sz w:val="22"/>
          <w:szCs w:val="22"/>
        </w:rPr>
        <w:t>the majority of the donations to-date have been ad hoc, provided with little notice and short shelf lives</w:t>
      </w:r>
      <w:r w:rsidR="00230B37">
        <w:rPr>
          <w:rFonts w:asciiTheme="minorHAnsi" w:hAnsiTheme="minorHAnsi" w:cstheme="minorHAnsi"/>
          <w:sz w:val="22"/>
          <w:szCs w:val="22"/>
        </w:rPr>
        <w:t>”</w:t>
      </w:r>
      <w:r w:rsidR="00230B37" w:rsidRPr="00230B37">
        <w:rPr>
          <w:rFonts w:asciiTheme="minorHAnsi" w:hAnsiTheme="minorHAnsi" w:cstheme="minorHAnsi"/>
          <w:sz w:val="22"/>
          <w:szCs w:val="22"/>
        </w:rPr>
        <w:t xml:space="preserve">. </w:t>
      </w:r>
      <w:r w:rsidR="00230B37">
        <w:rPr>
          <w:rFonts w:asciiTheme="minorHAnsi" w:hAnsiTheme="minorHAnsi" w:cstheme="minorHAnsi"/>
          <w:sz w:val="22"/>
          <w:szCs w:val="22"/>
        </w:rPr>
        <w:t xml:space="preserve">This makes it all but impossible </w:t>
      </w:r>
      <w:r w:rsidR="00435D1C">
        <w:rPr>
          <w:rFonts w:asciiTheme="minorHAnsi" w:hAnsiTheme="minorHAnsi" w:cstheme="minorHAnsi"/>
          <w:sz w:val="22"/>
          <w:szCs w:val="22"/>
        </w:rPr>
        <w:t>for</w:t>
      </w:r>
      <w:r w:rsidR="00230B37">
        <w:rPr>
          <w:rFonts w:asciiTheme="minorHAnsi" w:hAnsiTheme="minorHAnsi" w:cstheme="minorHAnsi"/>
          <w:sz w:val="22"/>
          <w:szCs w:val="22"/>
        </w:rPr>
        <w:t xml:space="preserve"> the</w:t>
      </w:r>
      <w:r w:rsidR="00EA75B7">
        <w:rPr>
          <w:rFonts w:asciiTheme="minorHAnsi" w:hAnsiTheme="minorHAnsi" w:cstheme="minorHAnsi"/>
          <w:sz w:val="22"/>
          <w:szCs w:val="22"/>
        </w:rPr>
        <w:t>se</w:t>
      </w:r>
      <w:r w:rsidR="00230B37">
        <w:rPr>
          <w:rFonts w:asciiTheme="minorHAnsi" w:hAnsiTheme="minorHAnsi" w:cstheme="minorHAnsi"/>
          <w:sz w:val="22"/>
          <w:szCs w:val="22"/>
        </w:rPr>
        <w:t xml:space="preserve"> doses </w:t>
      </w:r>
      <w:r w:rsidR="00435D1C">
        <w:rPr>
          <w:rFonts w:asciiTheme="minorHAnsi" w:hAnsiTheme="minorHAnsi" w:cstheme="minorHAnsi"/>
          <w:sz w:val="22"/>
          <w:szCs w:val="22"/>
        </w:rPr>
        <w:t>to be administered before they expire</w:t>
      </w:r>
      <w:r w:rsidR="00230B37">
        <w:rPr>
          <w:rFonts w:asciiTheme="minorHAnsi" w:hAnsiTheme="minorHAnsi" w:cstheme="minorHAnsi"/>
          <w:sz w:val="22"/>
          <w:szCs w:val="22"/>
        </w:rPr>
        <w:t>.</w:t>
      </w:r>
    </w:p>
    <w:p w14:paraId="550D55BE" w14:textId="7B9F3043" w:rsidR="00230B37" w:rsidRDefault="00230B37" w:rsidP="00A9231D">
      <w:pPr>
        <w:rPr>
          <w:rFonts w:asciiTheme="minorHAnsi" w:hAnsiTheme="minorHAnsi" w:cstheme="minorHAnsi"/>
          <w:sz w:val="22"/>
          <w:szCs w:val="22"/>
        </w:rPr>
      </w:pPr>
    </w:p>
    <w:p w14:paraId="250B7D2B" w14:textId="5E8D0D1F" w:rsidR="00230B37" w:rsidRDefault="00230B37" w:rsidP="00A923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second reason for inequality is that a </w:t>
      </w:r>
      <w:r w:rsidR="00C97FBA">
        <w:rPr>
          <w:rFonts w:asciiTheme="minorHAnsi" w:hAnsiTheme="minorHAnsi" w:cstheme="minorHAnsi"/>
          <w:sz w:val="22"/>
          <w:szCs w:val="22"/>
        </w:rPr>
        <w:t>few</w:t>
      </w:r>
      <w:r>
        <w:rPr>
          <w:rFonts w:asciiTheme="minorHAnsi" w:hAnsiTheme="minorHAnsi" w:cstheme="minorHAnsi"/>
          <w:sz w:val="22"/>
          <w:szCs w:val="22"/>
        </w:rPr>
        <w:t xml:space="preserve"> powerful countries have made it </w:t>
      </w:r>
      <w:r w:rsidR="00E6319F">
        <w:rPr>
          <w:rFonts w:asciiTheme="minorHAnsi" w:hAnsiTheme="minorHAnsi" w:cstheme="minorHAnsi"/>
          <w:sz w:val="22"/>
          <w:szCs w:val="22"/>
        </w:rPr>
        <w:t xml:space="preserve">difficult </w:t>
      </w:r>
      <w:r w:rsidR="00C97FBA">
        <w:rPr>
          <w:rFonts w:asciiTheme="minorHAnsi" w:hAnsiTheme="minorHAnsi" w:cstheme="minorHAnsi"/>
          <w:sz w:val="22"/>
          <w:szCs w:val="22"/>
        </w:rPr>
        <w:t>to accelerate vaccine production</w:t>
      </w:r>
      <w:r>
        <w:rPr>
          <w:rFonts w:asciiTheme="minorHAnsi" w:hAnsiTheme="minorHAnsi" w:cstheme="minorHAnsi"/>
          <w:sz w:val="22"/>
          <w:szCs w:val="22"/>
        </w:rPr>
        <w:t xml:space="preserve">. It has </w:t>
      </w:r>
      <w:r w:rsidR="00110C9B">
        <w:rPr>
          <w:rFonts w:asciiTheme="minorHAnsi" w:hAnsiTheme="minorHAnsi" w:cstheme="minorHAnsi"/>
          <w:sz w:val="22"/>
          <w:szCs w:val="22"/>
        </w:rPr>
        <w:t xml:space="preserve">been estimated that there are </w:t>
      </w:r>
      <w:hyperlink r:id="rId11" w:history="1">
        <w:r w:rsidR="00110C9B" w:rsidRPr="007530F6">
          <w:rPr>
            <w:rStyle w:val="Hyperlink"/>
            <w:rFonts w:asciiTheme="minorHAnsi" w:hAnsiTheme="minorHAnsi" w:cstheme="minorHAnsi"/>
            <w:sz w:val="22"/>
            <w:szCs w:val="22"/>
          </w:rPr>
          <w:t>over 100 companies i</w:t>
        </w:r>
        <w:r w:rsidR="00110C9B" w:rsidRPr="007530F6">
          <w:rPr>
            <w:rStyle w:val="Hyperlink"/>
            <w:rFonts w:asciiTheme="minorHAnsi" w:hAnsiTheme="minorHAnsi" w:cstheme="minorHAnsi"/>
            <w:sz w:val="22"/>
            <w:szCs w:val="22"/>
          </w:rPr>
          <w:t>n</w:t>
        </w:r>
        <w:r w:rsidR="00110C9B" w:rsidRPr="007530F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Africa, As</w:t>
        </w:r>
        <w:r w:rsidR="00110C9B" w:rsidRPr="007530F6">
          <w:rPr>
            <w:rStyle w:val="Hyperlink"/>
            <w:rFonts w:asciiTheme="minorHAnsi" w:hAnsiTheme="minorHAnsi" w:cstheme="minorHAnsi"/>
            <w:sz w:val="22"/>
            <w:szCs w:val="22"/>
          </w:rPr>
          <w:t>i</w:t>
        </w:r>
        <w:r w:rsidR="00110C9B" w:rsidRPr="007530F6">
          <w:rPr>
            <w:rStyle w:val="Hyperlink"/>
            <w:rFonts w:asciiTheme="minorHAnsi" w:hAnsiTheme="minorHAnsi" w:cstheme="minorHAnsi"/>
            <w:sz w:val="22"/>
            <w:szCs w:val="22"/>
          </w:rPr>
          <w:t>a and South America</w:t>
        </w:r>
      </w:hyperlink>
      <w:r w:rsidR="00110C9B">
        <w:rPr>
          <w:rFonts w:asciiTheme="minorHAnsi" w:hAnsiTheme="minorHAnsi" w:cstheme="minorHAnsi"/>
          <w:sz w:val="22"/>
          <w:szCs w:val="22"/>
        </w:rPr>
        <w:t xml:space="preserve"> in a position to manufacture Covid vaccines. But they are unable to because of a refusal to waive patents</w:t>
      </w:r>
      <w:r w:rsidR="006A5FED">
        <w:rPr>
          <w:rFonts w:asciiTheme="minorHAnsi" w:hAnsiTheme="minorHAnsi" w:cstheme="minorHAnsi"/>
          <w:sz w:val="22"/>
          <w:szCs w:val="22"/>
        </w:rPr>
        <w:t xml:space="preserve">. It is </w:t>
      </w:r>
      <w:hyperlink r:id="rId12" w:history="1">
        <w:r w:rsidR="006A5FED" w:rsidRPr="001426DB">
          <w:rPr>
            <w:rStyle w:val="Hyperlink"/>
            <w:rFonts w:asciiTheme="minorHAnsi" w:hAnsiTheme="minorHAnsi" w:cstheme="minorHAnsi"/>
            <w:sz w:val="22"/>
            <w:szCs w:val="22"/>
          </w:rPr>
          <w:t>over a year since India and South Africa</w:t>
        </w:r>
        <w:r w:rsidR="001426DB" w:rsidRPr="001426D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called for vaccine patent waivers</w:t>
        </w:r>
      </w:hyperlink>
      <w:r w:rsidR="001426DB">
        <w:rPr>
          <w:rFonts w:asciiTheme="minorHAnsi" w:hAnsiTheme="minorHAnsi" w:cstheme="minorHAnsi"/>
          <w:sz w:val="22"/>
          <w:szCs w:val="22"/>
        </w:rPr>
        <w:t xml:space="preserve">, a call which has since been endorsed by the WHO, the EU the Pope and </w:t>
      </w:r>
      <w:hyperlink r:id="rId13" w:history="1">
        <w:r w:rsidR="001426DB" w:rsidRPr="001426DB">
          <w:rPr>
            <w:rStyle w:val="Hyperlink"/>
            <w:rFonts w:asciiTheme="minorHAnsi" w:hAnsiTheme="minorHAnsi" w:cstheme="minorHAnsi"/>
            <w:sz w:val="22"/>
            <w:szCs w:val="22"/>
          </w:rPr>
          <w:t>well over 100 countries</w:t>
        </w:r>
      </w:hyperlink>
      <w:r w:rsidR="001426DB">
        <w:rPr>
          <w:rFonts w:asciiTheme="minorHAnsi" w:hAnsiTheme="minorHAnsi" w:cstheme="minorHAnsi"/>
          <w:sz w:val="22"/>
          <w:szCs w:val="22"/>
        </w:rPr>
        <w:t xml:space="preserve"> including the US, Russia and China. </w:t>
      </w:r>
      <w:proofErr w:type="spellStart"/>
      <w:r w:rsidR="00811DE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811DE7">
        <w:rPr>
          <w:rFonts w:asciiTheme="minorHAnsi" w:hAnsiTheme="minorHAnsi" w:cstheme="minorHAnsi"/>
          <w:sz w:val="22"/>
          <w:szCs w:val="22"/>
        </w:rPr>
        <w:t xml:space="preserve"> UK remains one of the very few countries now opposing vaccine patent waivers.</w:t>
      </w:r>
    </w:p>
    <w:p w14:paraId="403E8CB4" w14:textId="3AA8AE42" w:rsidR="00811DE7" w:rsidRDefault="00811DE7" w:rsidP="00A9231D">
      <w:pPr>
        <w:rPr>
          <w:rFonts w:asciiTheme="minorHAnsi" w:hAnsiTheme="minorHAnsi" w:cstheme="minorHAnsi"/>
          <w:sz w:val="22"/>
          <w:szCs w:val="22"/>
        </w:rPr>
      </w:pPr>
    </w:p>
    <w:p w14:paraId="4BA22513" w14:textId="134BDC16" w:rsidR="006A5FED" w:rsidRPr="00F12C33" w:rsidRDefault="00811DE7" w:rsidP="006A5FED">
      <w:p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sum</w:t>
      </w:r>
      <w:r w:rsidR="004F19F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0146">
        <w:rPr>
          <w:rFonts w:asciiTheme="minorHAnsi" w:hAnsiTheme="minorHAnsi" w:cstheme="minorHAnsi"/>
          <w:sz w:val="22"/>
          <w:szCs w:val="22"/>
        </w:rPr>
        <w:t>high-income countries</w:t>
      </w:r>
      <w:r>
        <w:rPr>
          <w:rFonts w:asciiTheme="minorHAnsi" w:hAnsiTheme="minorHAnsi" w:cstheme="minorHAnsi"/>
          <w:sz w:val="22"/>
          <w:szCs w:val="22"/>
        </w:rPr>
        <w:t xml:space="preserve"> ha</w:t>
      </w:r>
      <w:r w:rsidR="00DE0146">
        <w:rPr>
          <w:rFonts w:asciiTheme="minorHAnsi" w:hAnsiTheme="minorHAnsi" w:cstheme="minorHAnsi"/>
          <w:sz w:val="22"/>
          <w:szCs w:val="22"/>
        </w:rPr>
        <w:t>ve</w:t>
      </w:r>
      <w:r>
        <w:rPr>
          <w:rFonts w:asciiTheme="minorHAnsi" w:hAnsiTheme="minorHAnsi" w:cstheme="minorHAnsi"/>
          <w:sz w:val="22"/>
          <w:szCs w:val="22"/>
        </w:rPr>
        <w:t xml:space="preserve"> not only abandoned </w:t>
      </w:r>
      <w:r w:rsidR="00DE0146">
        <w:rPr>
          <w:rFonts w:asciiTheme="minorHAnsi" w:hAnsiTheme="minorHAnsi" w:cstheme="minorHAnsi"/>
          <w:sz w:val="22"/>
          <w:szCs w:val="22"/>
        </w:rPr>
        <w:t>low-income countries</w:t>
      </w:r>
      <w:r>
        <w:rPr>
          <w:rFonts w:asciiTheme="minorHAnsi" w:hAnsiTheme="minorHAnsi" w:cstheme="minorHAnsi"/>
          <w:sz w:val="22"/>
          <w:szCs w:val="22"/>
        </w:rPr>
        <w:t xml:space="preserve"> to the </w:t>
      </w:r>
      <w:proofErr w:type="gramStart"/>
      <w:r>
        <w:rPr>
          <w:rFonts w:asciiTheme="minorHAnsi" w:hAnsiTheme="minorHAnsi" w:cstheme="minorHAnsi"/>
          <w:sz w:val="22"/>
          <w:szCs w:val="22"/>
        </w:rPr>
        <w:t>pandemic, but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ha</w:t>
      </w:r>
      <w:r w:rsidR="00DE0146">
        <w:rPr>
          <w:rFonts w:asciiTheme="minorHAnsi" w:hAnsiTheme="minorHAnsi" w:cstheme="minorHAnsi"/>
          <w:sz w:val="22"/>
          <w:szCs w:val="22"/>
        </w:rPr>
        <w:t>ve</w:t>
      </w:r>
      <w:r>
        <w:rPr>
          <w:rFonts w:asciiTheme="minorHAnsi" w:hAnsiTheme="minorHAnsi" w:cstheme="minorHAnsi"/>
          <w:sz w:val="22"/>
          <w:szCs w:val="22"/>
        </w:rPr>
        <w:t xml:space="preserve"> actively stopped them protecting themselves. </w:t>
      </w:r>
      <w:r w:rsidR="00F12C33">
        <w:rPr>
          <w:rFonts w:asciiTheme="minorHAnsi" w:hAnsiTheme="minorHAnsi" w:cstheme="minorHAnsi"/>
          <w:sz w:val="22"/>
          <w:szCs w:val="22"/>
        </w:rPr>
        <w:t>In both respects the UK is one of the worst offenders. This must stop on grounds of humanity, of equality and of public health.</w:t>
      </w:r>
      <w:r w:rsidR="00DE0146">
        <w:rPr>
          <w:rFonts w:asciiTheme="minorHAnsi" w:hAnsiTheme="minorHAnsi" w:cstheme="minorHAnsi"/>
          <w:sz w:val="22"/>
          <w:szCs w:val="22"/>
        </w:rPr>
        <w:t xml:space="preserve"> Th</w:t>
      </w:r>
      <w:r w:rsidR="006A5FED">
        <w:rPr>
          <w:rFonts w:asciiTheme="minorHAnsi" w:hAnsiTheme="minorHAnsi" w:cstheme="minorHAnsi"/>
          <w:sz w:val="22"/>
          <w:szCs w:val="22"/>
        </w:rPr>
        <w:t xml:space="preserve">e actions we call for </w:t>
      </w:r>
      <w:proofErr w:type="gramStart"/>
      <w:r w:rsidR="006A5FED">
        <w:rPr>
          <w:rFonts w:asciiTheme="minorHAnsi" w:hAnsiTheme="minorHAnsi" w:cstheme="minorHAnsi"/>
          <w:sz w:val="22"/>
          <w:szCs w:val="22"/>
        </w:rPr>
        <w:t>are</w:t>
      </w:r>
      <w:r w:rsidR="00DE0146">
        <w:rPr>
          <w:rFonts w:asciiTheme="minorHAnsi" w:hAnsiTheme="minorHAnsi" w:cstheme="minorHAnsi"/>
          <w:sz w:val="22"/>
          <w:szCs w:val="22"/>
        </w:rPr>
        <w:t xml:space="preserve">  crucial</w:t>
      </w:r>
      <w:proofErr w:type="gramEnd"/>
      <w:r w:rsidR="00DE0146">
        <w:rPr>
          <w:rFonts w:asciiTheme="minorHAnsi" w:hAnsiTheme="minorHAnsi" w:cstheme="minorHAnsi"/>
          <w:sz w:val="22"/>
          <w:szCs w:val="22"/>
        </w:rPr>
        <w:t xml:space="preserve"> to addressing the Covid-19 pandemic </w:t>
      </w:r>
      <w:r w:rsidR="004F19FA">
        <w:rPr>
          <w:rFonts w:asciiTheme="minorHAnsi" w:hAnsiTheme="minorHAnsi" w:cstheme="minorHAnsi"/>
          <w:sz w:val="22"/>
          <w:szCs w:val="22"/>
        </w:rPr>
        <w:t xml:space="preserve">both </w:t>
      </w:r>
      <w:r w:rsidR="00DE0146">
        <w:rPr>
          <w:rFonts w:asciiTheme="minorHAnsi" w:hAnsiTheme="minorHAnsi" w:cstheme="minorHAnsi"/>
          <w:sz w:val="22"/>
          <w:szCs w:val="22"/>
        </w:rPr>
        <w:t xml:space="preserve">in the UK and </w:t>
      </w:r>
      <w:r w:rsidR="00FE5E4A">
        <w:rPr>
          <w:rFonts w:asciiTheme="minorHAnsi" w:hAnsiTheme="minorHAnsi" w:cstheme="minorHAnsi"/>
          <w:sz w:val="22"/>
          <w:szCs w:val="22"/>
        </w:rPr>
        <w:t>globally</w:t>
      </w:r>
      <w:r w:rsidR="006A5FED">
        <w:rPr>
          <w:rFonts w:asciiTheme="minorHAnsi" w:hAnsiTheme="minorHAnsi" w:cstheme="minorHAnsi"/>
          <w:sz w:val="22"/>
          <w:szCs w:val="22"/>
        </w:rPr>
        <w:t>.</w:t>
      </w:r>
    </w:p>
    <w:p w14:paraId="51A08AAC" w14:textId="78B8264C" w:rsidR="00F12C33" w:rsidRPr="00F12C33" w:rsidRDefault="00F12C33" w:rsidP="006A5FED">
      <w:pPr>
        <w:rPr>
          <w:rFonts w:ascii="Calibri" w:hAnsi="Calibri" w:cs="Calibri"/>
          <w:sz w:val="22"/>
          <w:szCs w:val="22"/>
        </w:rPr>
      </w:pPr>
    </w:p>
    <w:sectPr w:rsidR="00F12C33" w:rsidRPr="00F12C33" w:rsidSect="00304C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DB78" w14:textId="77777777" w:rsidR="000C0B97" w:rsidRDefault="000C0B97" w:rsidP="007579D2">
      <w:r>
        <w:separator/>
      </w:r>
    </w:p>
  </w:endnote>
  <w:endnote w:type="continuationSeparator" w:id="0">
    <w:p w14:paraId="2E5CC8DD" w14:textId="77777777" w:rsidR="000C0B97" w:rsidRDefault="000C0B97" w:rsidP="0075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9F45" w14:textId="77777777" w:rsidR="000C0B97" w:rsidRDefault="000C0B97" w:rsidP="007579D2">
      <w:r>
        <w:separator/>
      </w:r>
    </w:p>
  </w:footnote>
  <w:footnote w:type="continuationSeparator" w:id="0">
    <w:p w14:paraId="6D93097F" w14:textId="77777777" w:rsidR="000C0B97" w:rsidRDefault="000C0B97" w:rsidP="007579D2">
      <w:r>
        <w:continuationSeparator/>
      </w:r>
    </w:p>
  </w:footnote>
  <w:footnote w:id="1">
    <w:p w14:paraId="6C675645" w14:textId="7FF855DD" w:rsidR="007579D2" w:rsidRDefault="007579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Low income</w:t>
      </w:r>
      <w:proofErr w:type="gramEnd"/>
      <w:r>
        <w:t xml:space="preserve"> countries are those with GDP of less than $1,026 per capita. They have a population of 0.7 billion people, 9% of the global population.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F10F0"/>
    <w:multiLevelType w:val="hybridMultilevel"/>
    <w:tmpl w:val="D3BA1F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FC0E66"/>
    <w:multiLevelType w:val="hybridMultilevel"/>
    <w:tmpl w:val="1F068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D46A3"/>
    <w:multiLevelType w:val="hybridMultilevel"/>
    <w:tmpl w:val="37A2B11C"/>
    <w:lvl w:ilvl="0" w:tplc="08701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E2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6A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45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EA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23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AA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6F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60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F90B18"/>
    <w:multiLevelType w:val="hybridMultilevel"/>
    <w:tmpl w:val="8476159C"/>
    <w:lvl w:ilvl="0" w:tplc="5ED6B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A2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E3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22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8A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EA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E9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8F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C6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07C"/>
    <w:rsid w:val="00017430"/>
    <w:rsid w:val="00045A62"/>
    <w:rsid w:val="00056C2E"/>
    <w:rsid w:val="000B6315"/>
    <w:rsid w:val="000C0B97"/>
    <w:rsid w:val="00110C9B"/>
    <w:rsid w:val="00122315"/>
    <w:rsid w:val="001426DB"/>
    <w:rsid w:val="00152E34"/>
    <w:rsid w:val="001B0C42"/>
    <w:rsid w:val="001E2FF4"/>
    <w:rsid w:val="00230B37"/>
    <w:rsid w:val="00250CC5"/>
    <w:rsid w:val="002618AE"/>
    <w:rsid w:val="002B55FA"/>
    <w:rsid w:val="00304CCC"/>
    <w:rsid w:val="0031443C"/>
    <w:rsid w:val="003A3B66"/>
    <w:rsid w:val="003A5CF7"/>
    <w:rsid w:val="003A6264"/>
    <w:rsid w:val="003E37D3"/>
    <w:rsid w:val="00435D1C"/>
    <w:rsid w:val="004F19FA"/>
    <w:rsid w:val="00571EEC"/>
    <w:rsid w:val="005745E6"/>
    <w:rsid w:val="005A3B07"/>
    <w:rsid w:val="005C25B5"/>
    <w:rsid w:val="005C3659"/>
    <w:rsid w:val="006872D3"/>
    <w:rsid w:val="006A5FED"/>
    <w:rsid w:val="006F1CEF"/>
    <w:rsid w:val="007362DD"/>
    <w:rsid w:val="007479AC"/>
    <w:rsid w:val="007530F6"/>
    <w:rsid w:val="007579D2"/>
    <w:rsid w:val="007D2478"/>
    <w:rsid w:val="00811DE7"/>
    <w:rsid w:val="00822A28"/>
    <w:rsid w:val="00826763"/>
    <w:rsid w:val="00830831"/>
    <w:rsid w:val="00831054"/>
    <w:rsid w:val="0083607C"/>
    <w:rsid w:val="00844B0D"/>
    <w:rsid w:val="0091725A"/>
    <w:rsid w:val="009A30F2"/>
    <w:rsid w:val="009B0D61"/>
    <w:rsid w:val="009E0CC5"/>
    <w:rsid w:val="00A52D0B"/>
    <w:rsid w:val="00A66340"/>
    <w:rsid w:val="00A9231D"/>
    <w:rsid w:val="00AE23AC"/>
    <w:rsid w:val="00B24993"/>
    <w:rsid w:val="00B3213A"/>
    <w:rsid w:val="00B453DC"/>
    <w:rsid w:val="00BB34EE"/>
    <w:rsid w:val="00BC656B"/>
    <w:rsid w:val="00C21993"/>
    <w:rsid w:val="00C2494B"/>
    <w:rsid w:val="00C65CE5"/>
    <w:rsid w:val="00C81878"/>
    <w:rsid w:val="00C97FBA"/>
    <w:rsid w:val="00CA6DF5"/>
    <w:rsid w:val="00D242FD"/>
    <w:rsid w:val="00D83FA8"/>
    <w:rsid w:val="00DB653A"/>
    <w:rsid w:val="00DE0146"/>
    <w:rsid w:val="00E04809"/>
    <w:rsid w:val="00E6319F"/>
    <w:rsid w:val="00EA75B7"/>
    <w:rsid w:val="00EC05CA"/>
    <w:rsid w:val="00F028A4"/>
    <w:rsid w:val="00F12C33"/>
    <w:rsid w:val="00F31AC0"/>
    <w:rsid w:val="00F70326"/>
    <w:rsid w:val="00FE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391EC"/>
  <w15:chartTrackingRefBased/>
  <w15:docId w15:val="{1A7D6309-0264-4E37-A86C-5DE8F300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07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07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0D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494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23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0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C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C4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C42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4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79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79D2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79D2"/>
    <w:rPr>
      <w:vertAlign w:val="superscript"/>
    </w:rPr>
  </w:style>
  <w:style w:type="paragraph" w:styleId="Revision">
    <w:name w:val="Revision"/>
    <w:hidden/>
    <w:uiPriority w:val="99"/>
    <w:semiHidden/>
    <w:rsid w:val="00E04809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1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5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2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5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8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politics/2021/dec/20/global-covid-vaccination-failure-will-harm-britain-gordon-brown-warns" TargetMode="External"/><Relationship Id="rId13" Type="http://schemas.openxmlformats.org/officeDocument/2006/relationships/hyperlink" Target="https://www.nature.com/articles/d41586-021-01242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briefings.files.parliament.uk/documents/CBP-9240/CBP-9240.pdf" TargetMode="External"/><Relationship Id="rId12" Type="http://schemas.openxmlformats.org/officeDocument/2006/relationships/hyperlink" Target="https://www.thelancet.com/journals/lancet/article/PIIS0140-6736(20)32581-2/full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rw.org/news/2021/12/15/experts-identify-100-plus-firms-make-covid-19-mrna-vaccin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urworldindata.org/covid-vaccin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urworldindata.org/covid-vaccina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Stokoe</dc:creator>
  <cp:keywords/>
  <dc:description/>
  <cp:lastModifiedBy>Stephen Reicher</cp:lastModifiedBy>
  <cp:revision>2</cp:revision>
  <dcterms:created xsi:type="dcterms:W3CDTF">2021-12-22T13:56:00Z</dcterms:created>
  <dcterms:modified xsi:type="dcterms:W3CDTF">2021-12-22T13:56:00Z</dcterms:modified>
</cp:coreProperties>
</file>